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81623E"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81623E"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81623E"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81623E"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81623E"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81623E"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r w:rsidRPr="006016E1">
        <w:rPr>
          <w:b/>
          <w:bCs/>
        </w:rPr>
        <w:lastRenderedPageBreak/>
        <w:t>mail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7"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0FC93573" w:rsidR="00DC32C2" w:rsidRDefault="00DC32C2" w:rsidP="00E35861">
      <w:pPr>
        <w:spacing w:line="276" w:lineRule="auto"/>
        <w:jc w:val="both"/>
      </w:pPr>
      <w:r w:rsidRPr="00DC32C2">
        <w:rPr>
          <w:b/>
          <w:bCs/>
          <w:color w:val="FF0000"/>
        </w:rPr>
        <w:t xml:space="preserve">Une copie de ce contrat de mandat ainsi que la liste des membres de la structure du mandataire pouvant intervenir sur le dossier devront être enregistrées lors du dépôt de la demande de subvention FEADER sur </w:t>
      </w:r>
      <w:r w:rsidR="003A3BF1">
        <w:rPr>
          <w:b/>
          <w:bCs/>
          <w:color w:val="FF0000"/>
        </w:rPr>
        <w:t>EURO-PAC</w:t>
      </w:r>
      <w:r w:rsidR="00BF3038">
        <w:rPr>
          <w:color w:val="FF0000"/>
        </w:rPr>
        <w:t>.</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107182"/>
    <w:rsid w:val="00124A08"/>
    <w:rsid w:val="001C33A1"/>
    <w:rsid w:val="003A3BF1"/>
    <w:rsid w:val="003D7C58"/>
    <w:rsid w:val="00495E91"/>
    <w:rsid w:val="005953E6"/>
    <w:rsid w:val="005A5B9E"/>
    <w:rsid w:val="005C6F83"/>
    <w:rsid w:val="006016E1"/>
    <w:rsid w:val="006C7B50"/>
    <w:rsid w:val="00767A54"/>
    <w:rsid w:val="007B32A4"/>
    <w:rsid w:val="0081623E"/>
    <w:rsid w:val="008309B8"/>
    <w:rsid w:val="00895FE5"/>
    <w:rsid w:val="00981650"/>
    <w:rsid w:val="009E73F5"/>
    <w:rsid w:val="00A03B01"/>
    <w:rsid w:val="00A16C06"/>
    <w:rsid w:val="00A25E82"/>
    <w:rsid w:val="00A85AC2"/>
    <w:rsid w:val="00BF3038"/>
    <w:rsid w:val="00C05480"/>
    <w:rsid w:val="00C66CB7"/>
    <w:rsid w:val="00C87037"/>
    <w:rsid w:val="00D45DA1"/>
    <w:rsid w:val="00D7220B"/>
    <w:rsid w:val="00DC32C2"/>
    <w:rsid w:val="00DF6447"/>
    <w:rsid w:val="00E35861"/>
    <w:rsid w:val="00E81290"/>
    <w:rsid w:val="00E825D0"/>
    <w:rsid w:val="00EA151B"/>
    <w:rsid w:val="00F713BE"/>
    <w:rsid w:val="00FE2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telerecours.fr"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8705ED"/>
    <w:rsid w:val="00FE2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8BD3AB671F5D544B46456C12FDE3109" ma:contentTypeVersion="7" ma:contentTypeDescription="Crée un document." ma:contentTypeScope="" ma:versionID="fb01c24dd99acfe7f7fef7dbcf350d62">
  <xsd:schema xmlns:xsd="http://www.w3.org/2001/XMLSchema" xmlns:xs="http://www.w3.org/2001/XMLSchema" xmlns:p="http://schemas.microsoft.com/office/2006/metadata/properties" xmlns:ns2="1b838cc5-12e3-437b-896c-94ee08190bd2" targetNamespace="http://schemas.microsoft.com/office/2006/metadata/properties" ma:root="true" ma:fieldsID="5f32a6487ec9c863c20e8357aa3694e9" ns2:_="">
    <xsd:import namespace="1b838cc5-12e3-437b-896c-94ee08190bd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838cc5-12e3-437b-896c-94ee08190b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customXml/itemProps2.xml><?xml version="1.0" encoding="utf-8"?>
<ds:datastoreItem xmlns:ds="http://schemas.openxmlformats.org/officeDocument/2006/customXml" ds:itemID="{952CBB8A-771F-410D-9B5A-76B0E9A88610}"/>
</file>

<file path=customXml/itemProps3.xml><?xml version="1.0" encoding="utf-8"?>
<ds:datastoreItem xmlns:ds="http://schemas.openxmlformats.org/officeDocument/2006/customXml" ds:itemID="{F8C4190A-22D2-4B71-B0B2-E231EFFCA7B2}"/>
</file>

<file path=customXml/itemProps4.xml><?xml version="1.0" encoding="utf-8"?>
<ds:datastoreItem xmlns:ds="http://schemas.openxmlformats.org/officeDocument/2006/customXml" ds:itemID="{449E0381-E7D1-4834-A05C-3C0E920EE9DC}"/>
</file>

<file path=docProps/app.xml><?xml version="1.0" encoding="utf-8"?>
<Properties xmlns="http://schemas.openxmlformats.org/officeDocument/2006/extended-properties" xmlns:vt="http://schemas.openxmlformats.org/officeDocument/2006/docPropsVTypes">
  <Template>Normal.dotm</Template>
  <TotalTime>93</TotalTime>
  <Pages>6</Pages>
  <Words>1179</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Region Bourgogne-Franche-Comte</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FALCONNET CHLOE</dc:creator>
  <cp:lastModifiedBy>nathalie.lafarge</cp:lastModifiedBy>
  <cp:revision>25</cp:revision>
  <dcterms:created xsi:type="dcterms:W3CDTF">2024-09-17T15:44:00Z</dcterms:created>
  <dcterms:modified xsi:type="dcterms:W3CDTF">2025-04-10T15:25:22Z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ContentTypeId">
    <vt:lpwstr>0x01010038BD3AB671F5D544B46456C12FDE3109</vt:lpwstr>
  </property>
</Properties>
</file>